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BA7" w:rsidRPr="00936BA7" w:rsidRDefault="00936BA7" w:rsidP="00936BA7">
      <w:pPr>
        <w:shd w:val="clear" w:color="auto" w:fill="FFFFFF"/>
        <w:tabs>
          <w:tab w:val="left" w:pos="720"/>
        </w:tabs>
        <w:rPr>
          <w:color w:val="auto"/>
          <w:szCs w:val="26"/>
          <w:lang w:val="vi-VN"/>
        </w:rPr>
      </w:pPr>
    </w:p>
    <w:p w:rsidR="00936BA7" w:rsidRPr="00936BA7" w:rsidRDefault="00936BA7" w:rsidP="00936BA7">
      <w:pPr>
        <w:tabs>
          <w:tab w:val="left" w:pos="540"/>
        </w:tabs>
        <w:ind w:left="930"/>
        <w:jc w:val="center"/>
        <w:rPr>
          <w:b/>
          <w:bCs/>
          <w:color w:val="auto"/>
          <w:sz w:val="24"/>
          <w:szCs w:val="26"/>
          <w:lang w:val="vi-VN"/>
        </w:rPr>
      </w:pPr>
      <w:r w:rsidRPr="00936BA7">
        <w:rPr>
          <w:b/>
          <w:bCs/>
          <w:color w:val="auto"/>
          <w:sz w:val="24"/>
          <w:szCs w:val="26"/>
          <w:lang w:val="vi-VN"/>
        </w:rPr>
        <w:t>8. Chiến lược và chính sách công cho phát triển</w:t>
      </w:r>
    </w:p>
    <w:p w:rsidR="00936BA7" w:rsidRPr="00936BA7" w:rsidRDefault="00936BA7" w:rsidP="00936BA7">
      <w:pPr>
        <w:tabs>
          <w:tab w:val="left" w:pos="720"/>
        </w:tabs>
        <w:rPr>
          <w:color w:val="auto"/>
          <w:szCs w:val="26"/>
          <w:lang w:val="vi-VN"/>
        </w:rPr>
      </w:pPr>
      <w:r w:rsidRPr="00936BA7">
        <w:rPr>
          <w:color w:val="auto"/>
          <w:szCs w:val="26"/>
          <w:lang w:val="vi-VN"/>
        </w:rPr>
        <w:t>1. Mã học phần: FDE6021</w:t>
      </w:r>
    </w:p>
    <w:p w:rsidR="00936BA7" w:rsidRPr="00936BA7" w:rsidRDefault="00936BA7" w:rsidP="00936BA7">
      <w:pPr>
        <w:tabs>
          <w:tab w:val="left" w:pos="720"/>
        </w:tabs>
        <w:rPr>
          <w:color w:val="auto"/>
          <w:szCs w:val="26"/>
          <w:lang w:val="vi-VN"/>
        </w:rPr>
      </w:pPr>
      <w:r w:rsidRPr="00936BA7">
        <w:rPr>
          <w:color w:val="auto"/>
          <w:szCs w:val="26"/>
          <w:lang w:val="vi-VN"/>
        </w:rPr>
        <w:t>2. Số tín chỉ: 3</w:t>
      </w:r>
    </w:p>
    <w:p w:rsidR="00936BA7" w:rsidRPr="00936BA7" w:rsidRDefault="00936BA7" w:rsidP="00936BA7">
      <w:pPr>
        <w:tabs>
          <w:tab w:val="left" w:pos="720"/>
        </w:tabs>
        <w:rPr>
          <w:color w:val="auto"/>
          <w:szCs w:val="26"/>
          <w:lang w:val="vi-VN"/>
        </w:rPr>
      </w:pPr>
      <w:r w:rsidRPr="00936BA7">
        <w:rPr>
          <w:color w:val="auto"/>
          <w:szCs w:val="26"/>
          <w:lang w:val="vi-VN"/>
        </w:rPr>
        <w:t>3. Học phần tiên quyết: Không</w:t>
      </w:r>
    </w:p>
    <w:p w:rsidR="00936BA7" w:rsidRPr="00936BA7" w:rsidRDefault="00936BA7" w:rsidP="00936BA7">
      <w:pPr>
        <w:spacing w:line="336" w:lineRule="auto"/>
        <w:rPr>
          <w:color w:val="auto"/>
          <w:szCs w:val="26"/>
          <w:lang w:val="vi-VN"/>
        </w:rPr>
      </w:pPr>
      <w:r w:rsidRPr="00936BA7">
        <w:rPr>
          <w:color w:val="auto"/>
          <w:szCs w:val="26"/>
          <w:lang w:val="vi-VN"/>
        </w:rPr>
        <w:t>4. Tóm tắt nội dung của học phần:</w:t>
      </w:r>
    </w:p>
    <w:p w:rsidR="00936BA7" w:rsidRPr="00936BA7" w:rsidRDefault="00936BA7" w:rsidP="00936BA7">
      <w:pPr>
        <w:spacing w:line="336" w:lineRule="auto"/>
        <w:ind w:firstLine="720"/>
        <w:rPr>
          <w:color w:val="auto"/>
          <w:szCs w:val="26"/>
          <w:lang w:val="vi-VN"/>
        </w:rPr>
      </w:pPr>
      <w:r w:rsidRPr="00936BA7">
        <w:rPr>
          <w:color w:val="auto"/>
          <w:szCs w:val="26"/>
          <w:lang w:val="vi-VN"/>
        </w:rPr>
        <w:t>Học phần Chiến lược và Chính sách công cho Phát triển tập trung vào những nội dung quyết định làm hoặc không làm của chính phủ vì mục tiêu tăng trưởng và phát triển theo hướng bền vững. Cùng với việc làm rõ phạm vi học phần và phương pháp nghiên cứu, nội dung học phần Chiến lược và Chính sách công và Phát triển tập trung vào bốn mảng vấn đề cơ bản, gồm có: Quy trình thiết kế chính sách công; Các công cụ thiết kế chính sách; Thực hiện và điều chỉnh chính sách; Quản trị thực hiện chính sách. Người học còn được trang bị những kiến thức về môi trường và các nhân tố chi phối chất lượng các chính sách công cho phát triển, đặc biệt là môi trường thể chế và mô hình tổ chức của bộ máy nhà nước</w:t>
      </w:r>
    </w:p>
    <w:p w:rsidR="00792492" w:rsidRPr="00792492" w:rsidRDefault="00792492" w:rsidP="00792492">
      <w:pPr>
        <w:ind w:firstLine="720"/>
        <w:rPr>
          <w:color w:val="auto"/>
          <w:szCs w:val="26"/>
          <w:lang w:val="vi-VN"/>
        </w:rPr>
      </w:pPr>
      <w:bookmarkStart w:id="0" w:name="_GoBack"/>
      <w:bookmarkEnd w:id="0"/>
    </w:p>
    <w:p w:rsidR="00776FA1" w:rsidRPr="00776FA1" w:rsidRDefault="00776FA1" w:rsidP="00776FA1">
      <w:pPr>
        <w:tabs>
          <w:tab w:val="left" w:pos="851"/>
        </w:tabs>
        <w:ind w:firstLine="567"/>
        <w:rPr>
          <w:rFonts w:eastAsia="MS Mincho"/>
          <w:color w:val="auto"/>
          <w:szCs w:val="26"/>
          <w:shd w:val="clear" w:color="auto" w:fill="FFFFFF"/>
          <w:lang w:val="vi-VN"/>
        </w:rPr>
      </w:pPr>
      <w:r w:rsidRPr="00776FA1">
        <w:rPr>
          <w:rFonts w:eastAsia="MS Mincho"/>
          <w:color w:val="auto"/>
          <w:szCs w:val="26"/>
          <w:shd w:val="clear" w:color="auto" w:fill="FFFFFF"/>
          <w:lang w:val="vi-VN"/>
        </w:rPr>
        <w:t>.</w:t>
      </w:r>
    </w:p>
    <w:p w:rsidR="002E431A" w:rsidRPr="002E431A" w:rsidRDefault="002E431A" w:rsidP="002E431A">
      <w:pPr>
        <w:ind w:firstLine="720"/>
        <w:rPr>
          <w:rFonts w:eastAsia="Calibri"/>
          <w:bCs/>
          <w:color w:val="auto"/>
          <w:szCs w:val="26"/>
          <w:lang w:val="nb-NO"/>
        </w:rPr>
      </w:pPr>
    </w:p>
    <w:p w:rsidR="00B64245" w:rsidRDefault="00936BA7"/>
    <w:sectPr w:rsidR="00B64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A3899"/>
    <w:multiLevelType w:val="hybridMultilevel"/>
    <w:tmpl w:val="1F9642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6D0F22C7"/>
    <w:multiLevelType w:val="hybridMultilevel"/>
    <w:tmpl w:val="1F9642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CD"/>
    <w:rsid w:val="000D28E9"/>
    <w:rsid w:val="002E431A"/>
    <w:rsid w:val="004850F8"/>
    <w:rsid w:val="004B5B92"/>
    <w:rsid w:val="00776FA1"/>
    <w:rsid w:val="00792492"/>
    <w:rsid w:val="007F12D6"/>
    <w:rsid w:val="00936BA7"/>
    <w:rsid w:val="00AC5755"/>
    <w:rsid w:val="00C26DCD"/>
    <w:rsid w:val="00C7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CD"/>
    <w:pPr>
      <w:spacing w:after="0" w:line="360" w:lineRule="auto"/>
      <w:jc w:val="both"/>
    </w:pPr>
    <w:rPr>
      <w:rFonts w:ascii="Times New Roman" w:eastAsia="Times New Roman" w:hAnsi="Times New Roman" w:cs="Times New Roman"/>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CD"/>
    <w:pPr>
      <w:spacing w:after="0" w:line="360" w:lineRule="auto"/>
      <w:jc w:val="both"/>
    </w:pPr>
    <w:rPr>
      <w:rFonts w:ascii="Times New Roman" w:eastAsia="Times New Roman" w:hAnsi="Times New Roman" w:cs="Times New Roman"/>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Mcrosoft</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2018-05-07T04:10:00Z</dcterms:created>
  <dcterms:modified xsi:type="dcterms:W3CDTF">2018-05-07T04:10:00Z</dcterms:modified>
</cp:coreProperties>
</file>