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31A" w:rsidRPr="002E431A" w:rsidRDefault="002E431A" w:rsidP="002E431A">
      <w:pPr>
        <w:jc w:val="center"/>
        <w:rPr>
          <w:rFonts w:eastAsia="Calibri"/>
          <w:b/>
          <w:bCs/>
          <w:color w:val="auto"/>
          <w:szCs w:val="26"/>
          <w:lang w:val="es-ES_tradnl"/>
        </w:rPr>
      </w:pPr>
      <w:r w:rsidRPr="002E431A">
        <w:rPr>
          <w:rFonts w:eastAsia="Calibri"/>
          <w:b/>
          <w:bCs/>
          <w:color w:val="auto"/>
          <w:szCs w:val="26"/>
          <w:lang w:val="nb-NO"/>
        </w:rPr>
        <w:t>3. Lý thuyết kinh tế vi mô</w:t>
      </w:r>
    </w:p>
    <w:p w:rsidR="002E431A" w:rsidRPr="002E431A" w:rsidRDefault="002E431A" w:rsidP="002E431A">
      <w:pPr>
        <w:tabs>
          <w:tab w:val="left" w:pos="720"/>
        </w:tabs>
        <w:jc w:val="left"/>
        <w:rPr>
          <w:rFonts w:eastAsia="Calibri"/>
          <w:color w:val="auto"/>
          <w:szCs w:val="26"/>
          <w:lang w:val="nb-NO"/>
        </w:rPr>
      </w:pPr>
      <w:r w:rsidRPr="002E431A">
        <w:rPr>
          <w:rFonts w:eastAsia="Calibri"/>
          <w:color w:val="auto"/>
          <w:szCs w:val="26"/>
          <w:lang w:val="nb-NO"/>
        </w:rPr>
        <w:t>1. Mã học phần: INE6005</w:t>
      </w:r>
    </w:p>
    <w:p w:rsidR="002E431A" w:rsidRPr="002E431A" w:rsidRDefault="002E431A" w:rsidP="002E431A">
      <w:pPr>
        <w:tabs>
          <w:tab w:val="left" w:pos="720"/>
        </w:tabs>
        <w:jc w:val="left"/>
        <w:rPr>
          <w:rFonts w:eastAsia="Calibri"/>
          <w:color w:val="auto"/>
          <w:szCs w:val="26"/>
          <w:lang w:val="nb-NO"/>
        </w:rPr>
      </w:pPr>
      <w:r w:rsidRPr="002E431A">
        <w:rPr>
          <w:rFonts w:eastAsia="Calibri"/>
          <w:color w:val="auto"/>
          <w:szCs w:val="26"/>
          <w:lang w:val="nb-NO"/>
        </w:rPr>
        <w:t>2. Số tín chỉ: 2</w:t>
      </w:r>
    </w:p>
    <w:p w:rsidR="002E431A" w:rsidRPr="002E431A" w:rsidRDefault="002E431A" w:rsidP="002E431A">
      <w:pPr>
        <w:tabs>
          <w:tab w:val="left" w:leader="dot" w:pos="9100"/>
        </w:tabs>
        <w:rPr>
          <w:rFonts w:eastAsia="Calibri"/>
          <w:color w:val="auto"/>
          <w:szCs w:val="26"/>
          <w:lang w:val="nb-NO"/>
        </w:rPr>
      </w:pPr>
      <w:r w:rsidRPr="002E431A">
        <w:rPr>
          <w:rFonts w:eastAsia="Calibri"/>
          <w:color w:val="auto"/>
          <w:szCs w:val="26"/>
          <w:lang w:val="nb-NO"/>
        </w:rPr>
        <w:t>3. Học phần tiên quyết: Không</w:t>
      </w:r>
    </w:p>
    <w:p w:rsidR="002E431A" w:rsidRPr="002E431A" w:rsidRDefault="002E431A" w:rsidP="002E431A">
      <w:pPr>
        <w:tabs>
          <w:tab w:val="left" w:pos="720"/>
        </w:tabs>
        <w:rPr>
          <w:rFonts w:eastAsia="Calibri"/>
          <w:color w:val="auto"/>
          <w:szCs w:val="26"/>
          <w:lang w:val="nb-NO"/>
        </w:rPr>
      </w:pPr>
      <w:r w:rsidRPr="002E431A">
        <w:rPr>
          <w:rFonts w:eastAsia="Calibri"/>
          <w:color w:val="auto"/>
          <w:szCs w:val="26"/>
          <w:lang w:val="nb-NO"/>
        </w:rPr>
        <w:t>4. Tóm tắt nội dung của học phần</w:t>
      </w:r>
    </w:p>
    <w:p w:rsidR="002E431A" w:rsidRPr="002E431A" w:rsidRDefault="002E431A" w:rsidP="002E431A">
      <w:pPr>
        <w:ind w:firstLine="720"/>
        <w:rPr>
          <w:rFonts w:eastAsia="Calibri"/>
          <w:bCs/>
          <w:color w:val="auto"/>
          <w:szCs w:val="26"/>
          <w:lang w:val="nb-NO"/>
        </w:rPr>
      </w:pPr>
      <w:r w:rsidRPr="002E431A">
        <w:rPr>
          <w:rFonts w:eastAsia="Calibri"/>
          <w:bCs/>
          <w:color w:val="auto"/>
          <w:szCs w:val="26"/>
          <w:lang w:val="nb-NO"/>
        </w:rPr>
        <w:t xml:space="preserve">Xuất phát từ lý thuyết cung, cầu nhằm mô tả giải thích sự vận hành của một thị trường, </w:t>
      </w:r>
      <w:r w:rsidRPr="002E431A">
        <w:rPr>
          <w:rFonts w:eastAsia="MS Mincho"/>
          <w:color w:val="auto"/>
          <w:szCs w:val="26"/>
          <w:shd w:val="clear" w:color="auto" w:fill="FFFFFF"/>
          <w:lang w:val="nb-NO"/>
        </w:rPr>
        <w:t>h</w:t>
      </w:r>
      <w:r w:rsidRPr="002E431A">
        <w:rPr>
          <w:rFonts w:eastAsia="MS Mincho"/>
          <w:color w:val="auto"/>
          <w:szCs w:val="26"/>
          <w:shd w:val="clear" w:color="auto" w:fill="FFFFFF"/>
          <w:lang w:val="vi-VN"/>
        </w:rPr>
        <w:t>ọc phần</w:t>
      </w:r>
      <w:r w:rsidRPr="002E431A">
        <w:rPr>
          <w:rFonts w:eastAsia="Calibri"/>
          <w:bCs/>
          <w:color w:val="auto"/>
          <w:szCs w:val="26"/>
          <w:lang w:val="nb-NO"/>
        </w:rPr>
        <w:t xml:space="preserve"> hệ thống hóa lại các nội dung như lý thuyết về hành vi của người tiêu dùng, lý thuyết về hành vi của người sản xuất trên cả thị trường đầu ra và đầu vào; các cấu trúc thị trường (cạnh tranh hoàn hảo, độc quyền, độc quyền nhóm, cạnh tranh có tính chất độc quyền). </w:t>
      </w:r>
      <w:r w:rsidRPr="002E431A">
        <w:rPr>
          <w:rFonts w:eastAsia="MS Mincho"/>
          <w:color w:val="auto"/>
          <w:szCs w:val="26"/>
          <w:shd w:val="clear" w:color="auto" w:fill="FFFFFF"/>
          <w:lang w:val="vi-VN"/>
        </w:rPr>
        <w:t>Học phần</w:t>
      </w:r>
      <w:r w:rsidRPr="002E431A">
        <w:rPr>
          <w:rFonts w:eastAsia="MS Mincho"/>
          <w:color w:val="auto"/>
          <w:szCs w:val="26"/>
          <w:shd w:val="clear" w:color="auto" w:fill="FFFFFF"/>
          <w:lang w:val="nb-NO"/>
        </w:rPr>
        <w:t xml:space="preserve"> </w:t>
      </w:r>
      <w:r w:rsidRPr="002E431A">
        <w:rPr>
          <w:rFonts w:eastAsia="Calibri"/>
          <w:bCs/>
          <w:color w:val="auto"/>
          <w:szCs w:val="26"/>
          <w:lang w:val="nb-NO"/>
        </w:rPr>
        <w:t>cũng chú trọng phân tích các thất bại thị trường như là cơ sở của việc thực thi các chính sách công của nhà nước. Bên cạnh một số nội dung có tính chất nâng cao (phát triển các kiến thức kinh tế học vi mô ở bậc đại học), việc phân tích các tình huống thực tiễn trong lĩnh vực chính sách và quản lý được trình bày và thảo luận trong tất cả các chủ đề chính của học phần.</w:t>
      </w:r>
    </w:p>
    <w:p w:rsidR="002E431A" w:rsidRPr="002E431A" w:rsidRDefault="002E431A" w:rsidP="002E431A">
      <w:pPr>
        <w:ind w:firstLine="720"/>
        <w:rPr>
          <w:rFonts w:eastAsia="Calibri"/>
          <w:bCs/>
          <w:color w:val="auto"/>
          <w:szCs w:val="26"/>
          <w:lang w:val="nb-NO"/>
        </w:rPr>
      </w:pPr>
    </w:p>
    <w:p w:rsidR="00B64245" w:rsidRDefault="002E431A">
      <w:bookmarkStart w:id="0" w:name="_GoBack"/>
      <w:bookmarkEnd w:id="0"/>
    </w:p>
    <w:sectPr w:rsidR="00B64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F22C7"/>
    <w:multiLevelType w:val="hybridMultilevel"/>
    <w:tmpl w:val="1F9642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CD"/>
    <w:rsid w:val="000D28E9"/>
    <w:rsid w:val="002E431A"/>
    <w:rsid w:val="004850F8"/>
    <w:rsid w:val="004B5B92"/>
    <w:rsid w:val="00C26DCD"/>
    <w:rsid w:val="00C75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CD"/>
    <w:pPr>
      <w:spacing w:after="0" w:line="360" w:lineRule="auto"/>
      <w:jc w:val="both"/>
    </w:pPr>
    <w:rPr>
      <w:rFonts w:ascii="Times New Roman" w:eastAsia="Times New Roman" w:hAnsi="Times New Roman" w:cs="Times New Roman"/>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CD"/>
    <w:pPr>
      <w:spacing w:after="0" w:line="360" w:lineRule="auto"/>
      <w:jc w:val="both"/>
    </w:pPr>
    <w:rPr>
      <w:rFonts w:ascii="Times New Roman" w:eastAsia="Times New Roman" w:hAnsi="Times New Roman" w:cs="Times New Roman"/>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Mcrosoft</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2018-05-07T04:08:00Z</dcterms:created>
  <dcterms:modified xsi:type="dcterms:W3CDTF">2018-05-07T04:08:00Z</dcterms:modified>
</cp:coreProperties>
</file>