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46" w:rsidRPr="003D1C46" w:rsidRDefault="003D1C46" w:rsidP="003D1C46">
      <w:pPr>
        <w:spacing w:line="336" w:lineRule="auto"/>
        <w:ind w:firstLine="720"/>
        <w:rPr>
          <w:color w:val="auto"/>
          <w:szCs w:val="26"/>
          <w:lang w:val="vi-VN"/>
        </w:rPr>
      </w:pPr>
    </w:p>
    <w:p w:rsidR="00D01FCC" w:rsidRPr="00D01FCC" w:rsidRDefault="00D01FCC" w:rsidP="00D01FCC">
      <w:pPr>
        <w:tabs>
          <w:tab w:val="left" w:pos="720"/>
        </w:tabs>
        <w:ind w:left="450"/>
        <w:jc w:val="center"/>
        <w:rPr>
          <w:b/>
          <w:color w:val="auto"/>
          <w:szCs w:val="26"/>
          <w:lang w:val="es-ES_tradnl"/>
        </w:rPr>
      </w:pPr>
      <w:r w:rsidRPr="00D01FCC">
        <w:rPr>
          <w:b/>
          <w:color w:val="auto"/>
          <w:szCs w:val="26"/>
          <w:lang w:val="es-ES_tradnl"/>
        </w:rPr>
        <w:t>12. Chiến lược và Chính sách của các Tổ chức khu vực và quốc tế</w:t>
      </w:r>
    </w:p>
    <w:p w:rsidR="00D01FCC" w:rsidRPr="00D01FCC" w:rsidRDefault="00D01FCC" w:rsidP="00D01FCC">
      <w:pPr>
        <w:tabs>
          <w:tab w:val="left" w:pos="720"/>
        </w:tabs>
        <w:rPr>
          <w:color w:val="auto"/>
          <w:szCs w:val="26"/>
          <w:lang w:val="es-ES_tradnl"/>
        </w:rPr>
      </w:pPr>
      <w:r w:rsidRPr="00D01FCC">
        <w:rPr>
          <w:color w:val="auto"/>
          <w:szCs w:val="26"/>
          <w:lang w:val="es-ES_tradnl"/>
        </w:rPr>
        <w:t>1. Mã học phần: FDE6024</w:t>
      </w:r>
    </w:p>
    <w:p w:rsidR="00D01FCC" w:rsidRPr="00D01FCC" w:rsidRDefault="00D01FCC" w:rsidP="00D01FCC">
      <w:pPr>
        <w:tabs>
          <w:tab w:val="left" w:pos="720"/>
        </w:tabs>
        <w:rPr>
          <w:color w:val="auto"/>
          <w:szCs w:val="26"/>
          <w:lang w:val="es-ES_tradnl"/>
        </w:rPr>
      </w:pPr>
      <w:r w:rsidRPr="00D01FCC">
        <w:rPr>
          <w:color w:val="auto"/>
          <w:szCs w:val="26"/>
          <w:lang w:val="es-ES_tradnl"/>
        </w:rPr>
        <w:t>2. Số tín chỉ: 3</w:t>
      </w:r>
    </w:p>
    <w:p w:rsidR="00D01FCC" w:rsidRPr="00D01FCC" w:rsidRDefault="00D01FCC" w:rsidP="00D01FCC">
      <w:pPr>
        <w:tabs>
          <w:tab w:val="left" w:pos="720"/>
        </w:tabs>
        <w:rPr>
          <w:color w:val="auto"/>
          <w:szCs w:val="26"/>
          <w:lang w:val="es-ES_tradnl"/>
        </w:rPr>
      </w:pPr>
      <w:r w:rsidRPr="00D01FCC">
        <w:rPr>
          <w:color w:val="auto"/>
          <w:szCs w:val="26"/>
          <w:lang w:val="es-ES_tradnl"/>
        </w:rPr>
        <w:t>3. Học phần tiên quyết: Không</w:t>
      </w:r>
    </w:p>
    <w:p w:rsidR="00D01FCC" w:rsidRPr="00D01FCC" w:rsidRDefault="00D01FCC" w:rsidP="00D01FCC">
      <w:pPr>
        <w:rPr>
          <w:color w:val="auto"/>
          <w:szCs w:val="26"/>
          <w:lang w:val="es-ES_tradnl"/>
        </w:rPr>
      </w:pPr>
      <w:r w:rsidRPr="00D01FCC">
        <w:rPr>
          <w:color w:val="auto"/>
          <w:szCs w:val="26"/>
          <w:lang w:val="es-ES_tradnl"/>
        </w:rPr>
        <w:t>4.  Tóm tắt nội dung của học phần:</w:t>
      </w:r>
    </w:p>
    <w:p w:rsidR="00D01FCC" w:rsidRPr="00D01FCC" w:rsidRDefault="00D01FCC" w:rsidP="00D01FCC">
      <w:pPr>
        <w:ind w:firstLine="720"/>
        <w:rPr>
          <w:color w:val="auto"/>
          <w:szCs w:val="26"/>
          <w:shd w:val="clear" w:color="auto" w:fill="FFFFFF"/>
          <w:lang w:val="es-ES_tradnl"/>
        </w:rPr>
      </w:pPr>
      <w:r w:rsidRPr="00D01FCC">
        <w:rPr>
          <w:color w:val="auto"/>
          <w:szCs w:val="26"/>
          <w:shd w:val="clear" w:color="auto" w:fill="FFFFFF"/>
          <w:lang w:val="es-ES_tradnl"/>
        </w:rPr>
        <w:t xml:space="preserve">Học phần  này nhằm cung cấp cho học viên các kiến thức về vai trò và hoạt động của các tổ chức quốc tế chính trong thế kỷ 21. Chính vì thế học phần sẽ tập trung vào triết lý và nguyên lý của các tổ chức quốc té cũng như các vấn đề mà các tổ chức này giải quyết. Học phần sẽ xem xét nguồn gốc lịch sử, bản chất và các chức năng của các tổ chức quốc tế. Học phần sẽ bắt đầu bằng việc xem xét một số vấn đề chung về các tổ chức khu vực và quốc tế như lịch sử hình thành, các tổ chức quốc tế được hình thành trong thế kỷ 19, sự cần thiết của các tổ chức quốc tế. Các tổ chức quốc tế được giảng dạy trong </w:t>
      </w:r>
      <w:r w:rsidRPr="00D01FCC">
        <w:rPr>
          <w:color w:val="auto"/>
          <w:szCs w:val="26"/>
          <w:lang w:val="vi-VN"/>
        </w:rPr>
        <w:t>học phần</w:t>
      </w:r>
      <w:r w:rsidRPr="00D01FCC">
        <w:rPr>
          <w:color w:val="auto"/>
          <w:szCs w:val="26"/>
          <w:lang w:val="es-ES_tradnl"/>
        </w:rPr>
        <w:t xml:space="preserve"> </w:t>
      </w:r>
      <w:r w:rsidRPr="00D01FCC">
        <w:rPr>
          <w:color w:val="auto"/>
          <w:szCs w:val="26"/>
          <w:shd w:val="clear" w:color="auto" w:fill="FFFFFF"/>
          <w:lang w:val="es-ES_tradnl"/>
        </w:rPr>
        <w:t xml:space="preserve">này gồm có: Các tổ chức của Liên hợp quốc, Quỹ tiền tệ quốc tế, Ngân hàng thế giới, Tổ chức thương mại thế giới, Các tổ chức phi chính phủ quốc tế, Các tổ chức khu vực. Ngoài ra </w:t>
      </w:r>
      <w:r w:rsidRPr="00D01FCC">
        <w:rPr>
          <w:color w:val="auto"/>
          <w:szCs w:val="26"/>
          <w:lang w:val="vi-VN"/>
        </w:rPr>
        <w:t>học phần</w:t>
      </w:r>
      <w:r w:rsidRPr="00D01FCC">
        <w:rPr>
          <w:color w:val="auto"/>
          <w:szCs w:val="26"/>
          <w:shd w:val="clear" w:color="auto" w:fill="FFFFFF"/>
          <w:lang w:val="es-ES_tradnl"/>
        </w:rPr>
        <w:t xml:space="preserve"> cũng sẽ thảo luận về tương lai của các tổ chức quốc tế. </w:t>
      </w:r>
    </w:p>
    <w:p w:rsidR="00B64245" w:rsidRDefault="00D01FCC" w:rsidP="00D01FCC">
      <w:pPr>
        <w:tabs>
          <w:tab w:val="left" w:pos="540"/>
        </w:tabs>
        <w:spacing w:after="120"/>
        <w:jc w:val="center"/>
      </w:pPr>
      <w:bookmarkStart w:id="0" w:name="_GoBack"/>
      <w:bookmarkEnd w:id="0"/>
    </w:p>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60303"/>
    <w:rsid w:val="000D28E9"/>
    <w:rsid w:val="002E431A"/>
    <w:rsid w:val="003D1C46"/>
    <w:rsid w:val="004850F8"/>
    <w:rsid w:val="004B5B92"/>
    <w:rsid w:val="00513557"/>
    <w:rsid w:val="00776FA1"/>
    <w:rsid w:val="00792492"/>
    <w:rsid w:val="007F12D6"/>
    <w:rsid w:val="00936BA7"/>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2018-05-07T04:11:00Z</dcterms:created>
  <dcterms:modified xsi:type="dcterms:W3CDTF">2018-05-07T04:11:00Z</dcterms:modified>
</cp:coreProperties>
</file>